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108</w:t>
      </w:r>
    </w:p>
    <w:p>
      <w:r>
        <w:t>Bundesgericht (BGE), 2014-07-22, DE</w:t>
      </w:r>
    </w:p>
    <w:p>
      <w:r>
        <w:rPr>
          <w:b/>
        </w:rPr>
        <w:t xml:space="preserve">Quelle: </w:t>
      </w:r>
      <w:r>
        <w:t>https://mcp.opencaselaw.ch/entscheid/bge_140 IV 108</w:t>
      </w:r>
    </w:p>
    <w:p>
      <w:r>
        <w:t>FR: ATF 140 IV 108</w:t>
      </w:r>
    </w:p>
    <w:p>
      <w:r>
        <w:t>IT: DTF 140 IV 108</w:t>
      </w:r>
    </w:p>
    <w:p>
      <w:pPr>
        <w:pStyle w:val="Heading2"/>
      </w:pPr>
      <w:r>
        <w:t>Regeste</w:t>
      </w:r>
    </w:p>
    <w:p>
      <w:r>
        <w:t>Regeste Art. 172 und 264 Abs. 1 lit. c StPO, Art. 17 Abs. 3 BV, Art. 10 EMRK; Verbot der Beschlagnahme von Unterlagen aus dem Verkehr des Beschuldigten mit Medienschaffenden. Das Beschlagnahmeverbot erfasst nicht nur Unterlagen, die sich beim Medienschaffenden befinden, sondern auch solche, die sich beim Beschuldigten oder bei Dritten befinden (E. 6).</w:t>
      </w:r>
    </w:p>
    <w:p>
      <w:pPr>
        <w:pStyle w:val="Heading2"/>
      </w:pPr>
      <w:r>
        <w:t>Erwägungen</w:t>
      </w:r>
    </w:p>
    <w:p>
      <w:r>
        <w:rPr>
          <w:b/>
        </w:rPr>
        <w:t>E. 6.1</w:t>
      </w:r>
    </w:p>
    <w:p>
      <w:r>
        <w:t>Der Beschwerdeführer bringt vor, er habe vor Vorinstanz beantragt, aus dem Sicherstellungsgut alles auszusondern und ihm herauszugeben, was dem Quellenschutz der Medienschaffenden unterliege, d.h. insbesondere sämtliche Korrespondenz und Aufzeichnungen zwischen ihm und der "Weltwoche" bzw. dort tätigen bestimmten Journalisten. Indem die Vorinstanz das abgelehnt habe, habe sie Art. 264 Abs. 1 lit. c StPO verletzt.</w:t>
      </w:r>
    </w:p>
    <w:p>
      <w:r>
        <w:rPr>
          <w:b/>
        </w:rPr>
        <w:t>E. 6.2</w:t>
      </w:r>
    </w:p>
    <w:p>
      <w:r>
        <w:t>Art. 264 StPO regelt die Einschränkungen der Beschlagnahme. Gemäss Absatz 1 dieser Bestimmung in der ursprünglichen, am 1. Januar 2011 in Kraft getretenen Fassung dürfen nicht beschlagnahmt werden, ungeachtet des Ortes, wo sie sich befinden, und des Zeitpunktes,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170-173 das Zeugnis verweigern können und die im gleichen Sachzusammenhang nicht selber beschuldigt sind. Art. 264 Abs. 1 lit. c StPO wurde mit Bundesgesetz vom 28. September 2012 über die Anpassung von verfahrensrechtlichen Bestimmungen zum anwaltlichen Berufsgeheimnis, in Kraft seit 1. Mai 2013, geändert. Danach gilt das Beschlagnahmeverbot für Gegenstände und Unterlagen aus dem Verkehr der beschuldigten Person mit Personen, die nach den Artikeln 170-173 das Zeugnis verweigern können und im gleichen Sachzusammenhang nicht selber beschuldigt sind. Zudem wurde mit diesem Bundesgesetz ein neuer Buchstabe d in Art. 264 Abs. 1 StPO eingefügt. Danach gilt das Beschlagnahmeverbot nunmehr auch für Gegenstände und Unterlagen aus dem Verkehr einer anderen (also nicht beschuldigten) Person mit ihrer Anwältin oder ihrem Anwalt, sofern die Anwältin oder der Anwalt nach dem Anwaltsgesetz vom 23. Juni 2000 (BGFA; SR 935.61) zur Vertretung vor schweizerischen Gerichten berechtigt ist und im gleichen Sachzusammenhang nicht selber beschuldigt ist. Bei der Revision von Art. 264 Abs. 1 lit. c StPO handelt es sich um eine redaktionelle Anpassung an die neue, auch in anderen BGE 140 IV 108 S. 111 Gesetzen verwendete Terminologie (Botschaft vom 26. Oktober 2011 zum Bundesgesetz über die Anpassung von verfahrensrechtlichen Bestimmungen zum anwaltlichen Berufsgeheimnis, BBl 2011 8187 Ziff. 3.5). Inhaltlich ändert sich insoweit nichts. Es braucht daher nicht untersucht zu werden, ob hier die neue oder alte Fassung von Art. 264 Abs. 1 lit. c StPO anwendbar ist. Art. 172 StPO regelt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im Einzelnen aufgezählte schwere Straftaten nicht aufgeklärt werden können oder die einer solchen Tat beschuldigte Person nicht ergriffen werden kann (Abs. 2). Art. 172 StPO entspricht inhaltlich Art. 28a StGB , der beibehalten worden ist ( BGE 136 IV 145 E. 3.2 S. 150 mit Hinweis).</w:t>
      </w:r>
    </w:p>
    <w:p>
      <w:r>
        <w:rPr>
          <w:b/>
        </w:rPr>
        <w:t>E. 6.3</w:t>
      </w:r>
    </w:p>
    <w:p>
      <w:r>
        <w:t>Die Vorinstanz erwägt, der Passus in Art. 264 Abs. 1 StPO "ungeachtet des Ortes, wo sie sich befinden" sei auf Gegenstände zu beschränken, welche sich in der Sphäre der Journalisten befinden, womit nebst den Redaktionsräumen Privaträume und die Effekten der Journalisten geschützt seien. Im vorliegenden Fall befänden sich die beschlagnahmten Gegenstände nicht in der Sphäre der Journalisten, weshalb die entsprechende Korrespondenz mit den vom Beschwerdeführer genannten Journalisten nicht auszusondern und ebenfalls der Staatsanwaltschaft zur Durchsuchung zu überlassen sei.</w:t>
      </w:r>
    </w:p>
    <w:p>
      <w:r>
        <w:rPr>
          <w:b/>
        </w:rPr>
        <w:t>E. 6.4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BGE 140 IV 108 S. 112 Zweck oder aus dem Zusammenhang mit andern Vorschriften ergeben ( BGE 140 II 129 E. 3.2 S. 131 mit Hinweisen).</w:t>
      </w:r>
    </w:p>
    <w:p>
      <w:r>
        <w:rPr>
          <w:b/>
        </w:rPr>
        <w:t>E. 6.5</w:t>
      </w:r>
    </w:p>
    <w:p>
      <w:r>
        <w:t>Bei den vom Beschwerdeführer genannten Journalisten handelt es sich unstreitig um Personen, die sich beruflich mit der Veröffentlichung von Informationen im redaktionellen Teil eines periodisch erscheinenden Mediums befassen. Sie können somit gemäss Art. 172 Abs. 1 StPO das Zeugnis über Inhalt und Quellen ihrer Informationen verweigern. Die dem Beschwerdeführer angelasteten Taten fallen nicht unter den Deliktskatalog nach Art. 172 Abs. 2 lit. b StPO . Eine Aussagepflicht trifft die Journalisten daher nicht. Die Journalisten sind im vorliegenden Zusammenhang nicht selber beschuldigt. Gemäss Art. 264 Abs. 1 lit. c StPO gilt somit das Beschlagnahmeverbot für Gegenstände und Unterlagen aus dem Verkehr des Beschwerdeführers mit den Journalisten. Nach dem klaren Gesetzeswortlaut ("ungeachtet des Ortes", "quel que soit l'endroit où ils se trouvent", "indipendentemente dal luogo in cui si trovano") kommt es dabei nicht darauf an, wo sich die Gegenstände und Unterlagen befinden. Das Beschlagnahmeverbot gilt also nicht nur für Gegenstände und Unterlagen, die sich beim Journalisten befinden, sondern auch für solche, die sich beim Beschuldigten oder bei Dritten befinden. Dass das Beschlagnahmeverbot nicht nur beim Journalisten liegende Gegenstände und Unterlagen erfasst, verdeutlicht überdies das in Art. 264 Abs. 1 lit. c (ebenso wie lit. a und d) StPO enthaltene Wort "Verkehr" (bzw. "contacts"/"contatti"). Bei einem solchen besteht ein "Hin und Her". Dies spricht zusätzlich dafür, dass das Beschlagnahmeverbot nicht nur für Gegenstände und Unterlagen gilt, die der Beschuldigte dem Journalisten zugesandt hat, sondern auch für solche, die umgekehrt der Journalist dem Beschuldigten zugesandt hat und sich somit bei diesem befinden. Der klare Gesetzeswortlaut stützt demnach die Auffassung des Beschwerdeführers. Es stellt sich die Frage, ob triftige Gründe dafür bestehen, dass der Wortlaut nicht den wahren Sinn der Bestimmung wiedergibt.</w:t>
      </w:r>
    </w:p>
    <w:p>
      <w:r>
        <w:rPr>
          <w:b/>
        </w:rPr>
        <w:t>E. 6.6.1</w:t>
      </w:r>
    </w:p>
    <w:p>
      <w:r>
        <w:t>Art. 274 des Vorentwurfs des Eidgenössischen Justiz- und Polizeidepartements zu einer Schweizerischen Strafprozessordnung vom Juni 2001 regelte die Beschränkung der Beschlagnahme wie folgt: BGE 140 IV 108 S. 113 Bei Beschuldigten dürfen Unterlagen aus dem Verkehr mit ihrer Verteidigung nicht beschlagnahmt werden (Abs. 1). Gleiches gilt für persönliche Aufzeichnungen und Korrespondenz der Beschuldigten, wenn ihr Interesse am Schutz der Persönlichkeit das Strafverfolgungsinteresse überwiegt (Abs. 2). Bei Personen, die das Zeugnis verweigern dürfen, dürfen Gegenstände und Vermögenswerte, die aus dem persönlichen Verkehr mit dem Beschuldigten stammen, namentlich Aufzeichnungen und Korrespondenzen, nicht beschlagnahmt werden, wenn diese Personen im gleichen Verfahren nicht selber Beschuldigte sind (Abs. 3) (...). Nach dem Vorentwurf war somit massgeblich, wo sich die Gegenstände, namentlich Aufzeichnungen und Korrespondenzen, befinden.</w:t>
      </w:r>
    </w:p>
    <w:p>
      <w:r>
        <w:rPr>
          <w:b/>
        </w:rPr>
        <w:t>E. 6.6.2</w:t>
      </w:r>
    </w:p>
    <w:p>
      <w:r>
        <w:t>Art. 263 Abs. 1 des bundesrätlichen Entwurfs zur Schweizerischen Strafprozessordnung lautete wie folgt: Nicht beschlagnahmt werden dürfen: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167-170 das Zeugnis verweigern können und die im gleichen Sachzusammenhang nicht selber beschuldigt sind. Der Bundesrat bemerkte in der Botschaft vom 21. Dezember 2005 zur Vereinheitlichung des Strafprozessrechts, zu beachten sei, dass die in den Buchstaben a-c genannten Gegenstände und Vermögenswerte nicht beschlagnahmt werden dürften, ungeachtet des Ortes, an dem sie sich befinden (BBl 2006 1245 f. Ziff. 2.5.7).</w:t>
      </w:r>
    </w:p>
    <w:p>
      <w:r>
        <w:rPr>
          <w:b/>
        </w:rPr>
        <w:t>E. 6.6.3</w:t>
      </w:r>
    </w:p>
    <w:p>
      <w:r>
        <w:t>In der ständerätlichen Beratung vom 7. Dezember 2006 beantragte Ständerat Schwaller, Art. 263 Abs. 1 lit. c des bundesrätlichen Entwurfs so zu ergänzen, dass Gegenstände, namentlich Aufzeichnungen und Korrespondenzen, nicht beschlagnahmt werden dürfen, "ungeachtet des Ortes, wo sich diese befinden und des Zeitpunkts, in welchem sie geschaffen worden sind". Der Sprecher der Kommission bemerkte dazu, diese habe die von Ständerat Schwaller aufgeworfene Frage erörtert. Sie teile ganz dessen Auffassung. Die Kommission sei der Ansicht "que l'article 263 alinéa 1 lettre c vaut quel que soit le lieu où se trouvent ces objets et BGE 140 IV 108 S. 114 quel que soit le moment où ils ont été produits". Sie erachte es jedoch nicht als notwendig, dies ausdrücklich im Gesetz zu sagen (Votum Berset). Bundesrat Blocher legte dar, zwischen der bundesrätlichen Vorlage und dem Antrag Schwaller bestehe kein inhaltlicher Unterschied. Der Schutz vor Beschlagnahme bei Berufspersonen müsse im Falle der Schriftlichkeit ungeachtet dessen bestehen, wo sich das Schriftstück befindet. Dies sei eine Selbstverständlichkeit, die nicht ausdrücklich festgehalten werden müsse. Ständerat Schwaller bemerkte, ihm sei es um diese Präzisierungen gegangen. Der Kommissionssprecher und der Bundesrat sagten, sein Anliegen sei im Gesetz enthalten. Das genüge ihm. Ständerat Schwaller zog seinen Antrag deshalb zurück (AB 2006 S 1031 f.).</w:t>
      </w:r>
    </w:p>
    <w:p>
      <w:r>
        <w:rPr>
          <w:b/>
        </w:rPr>
        <w:t>E. 6.6.4</w:t>
      </w:r>
    </w:p>
    <w:p>
      <w:r>
        <w:t>In der Beratung des Nationalrates vom 19. Juni 2007 stellte dessen Kommission den Antrag, Art. 263 Abs. 1 des bundesrätlichen Entwurfs wie folgt zu fassen: "Nicht beschlagnahmt werden dürfen, ungeachtet des Ortes, wo sie sich befinden, und des Zeitpunktes, in welchem sie geschaffen worden sind: ...". Bundesrat Blocher bemerkte, der Antrag sei unnötig. Er sei in der Formulierung des bundesrätlichen Entwurfs enthalten. Die Sprecherin der Kommission legte dar, diese habe Absatz 1 zwecks Schaffung von Klarheit und Rechtssicherheit ergänzt. Die Kommission sei der Ansicht, dass dies nötig sei (Votum Thanei). Der Nationalrat nahm Art. 263 in der von der Kommission vorgeschlagenen Fassung an (AB 2007 N 990). Dem schloss sich der Ständerat in der Folge an (AB 2007 S 721).</w:t>
      </w:r>
    </w:p>
    <w:p>
      <w:r>
        <w:rPr>
          <w:b/>
        </w:rPr>
        <w:t>E. 6.6.5</w:t>
      </w:r>
    </w:p>
    <w:p>
      <w:r>
        <w:t>Dass es für das Beschlagnahmeverbot nicht darauf ankommt, wo sich die Gegenstände und Unterlagen befinden, entspricht demnach dem klaren Willen des Gesetzgebers. Dies gilt insbesondere für Art. 264 Abs. 1 lit. c StPO . Die historische Auslegung spricht somit gegen ein Abweichen vom Wortlaut. Dem kommt umso mehr Gewicht zu, als es sich bei der Strafprozessordnung um ein jüngeres Gesetz handelt ( BGE 139 III 78 E. 5.4.3 S. 85; BGE 133 III 273 E. 3.2.2 S. 278; je mit Hinweisen).</w:t>
      </w:r>
    </w:p>
    <w:p>
      <w:r>
        <w:rPr>
          <w:b/>
        </w:rPr>
        <w:t>E. 6.7</w:t>
      </w:r>
    </w:p>
    <w:p>
      <w:r>
        <w:t>Die Medien üben ein "Wächteramt" aus. Sie sollen namentlich Missstände in Staat und Gesellschaft ungehindert aufdecken können. BGE 140 IV 108 S. 115 Dafür müssen sie an die notwendigen Informationen gelangen. Dies erleichtern das Zeugnisverweigerungsrecht der Medienschaffenden nach Art. 172 StPO und das Beschlagnahmeverbot nach Art. 264 Abs. 1 lit. c StPO . Kann der Informant davon ausgehen, dass sein Name geheim bleibt, wird er die Information den Medien eher zugänglich machen, als wenn er mit der Offenlegung seines Namens rechnen müsste, was rechtliche, berufliche und gesellschaftliche Nachteile für ihn haben könnte ( BGE 136 IV 145 E. 3.1 S. 149; Urteil des Europäischen Gerichtshofes für Menschenrechte Martin und andere gegen Frankreich vom 12. April 2012, § 59; FRANZ ZELLER, in: Basler Kommentar, Strafrecht, Bd. I, 3. Aufl. 2013, N. 2 f. zu Art. 28a StGB ; je mit Hinweisen). Insoweit spielt der Umfang des Beschlagnahmeverbots eine Rolle. Erfolgt die Kommunikation zwischen dem Informanten und dem Journalisten schriftlich, hinterlässt das Spuren. Dabei wird namentlich beim heute stark zunehmenden E-Mail-Verkehr oft hin- und hergeschrieben. Insoweit ist in der Regel jeweils der gesamte Schriftverkehr zwischen den Beteiligten ersichtlich.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der Informant damit rechnen, dass die Unterlagen beim Dritten beschlagnahmt werden, könnte ihn das ebenso davon abhalten, die Information dem Journalisten zukommen zu lassen. Dies alles wäre dem Wächteramt der Medien abträglich. Der Zweck von Art. 264 Abs. 1 lit. c i.V.m. Art. 172 StPO spricht somit ebenfalls gegen ein Abweichen vom Wortlaut.</w:t>
      </w:r>
    </w:p>
    <w:p>
      <w:r>
        <w:rPr>
          <w:b/>
        </w:rPr>
        <w:t>E. 6.8</w:t>
      </w:r>
    </w:p>
    <w:p>
      <w:r>
        <w:t>Art. 17 Abs. 3 BV gewährleistet das Redaktionsgeheimnis. Ein entsprechender Schutz journalistischer Quellen ergibt sich aus der Freiheit auf Meinungsäusserung gemäss Art. 10 EMRK ( BGE 136 IV 145 E. 3.1 S. 149 mit Hinweisen). Sowohl das Bundesgericht als auch der Europäische Gerichtshof für Menschenrechte messen dem BGE 140 IV 108 S. 116 Quellenschutz als Eckpfeiler der Pressefreiheit erhebliches Gewicht zu ( BGE 132 I 181 E. 2.1 S. 185; BGE 123 IV 236 E. 8a/aa S. 247; Urteil des Europäischen Gerichtshofes Martin und andere gegen Frankreich vom 12. April 2012, § 59 ff.; ZELLER, a.a.O., N. 10 zu Art. 28a StGB ; je mit Hinweisen). Dies spricht für einen tendenziell weiten Quellenschutz und damit gegen eine einengende Auslegung von Art. 264 Abs. 1 lit. c StPO entgegen dem Wortlaut.</w:t>
      </w:r>
    </w:p>
    <w:p>
      <w:r>
        <w:rPr>
          <w:b/>
        </w:rPr>
        <w:t>E. 6.9</w:t>
      </w:r>
    </w:p>
    <w:p>
      <w:r>
        <w:t>Die Vorinstanz beruft sich auf STEFAN HEIMGARTNER (Strafprozessuale Beschlagnahme, 2011). Dieser führt aus, wie aus Art. 264 Abs. 1 StPO hervorgehe, gelte auch der Quellenschutz ungeachtet des Ortes, wo sich die Objekte befinden. Damit seien nicht nur die Redaktionsräume, sondern auch die Privaträume und die Effekten des Journalisten geschützt (S. 256). HEIMGARTNER sagt dies im Rahmen seiner besonderen Bemerkungen zum Redaktionsgeheimnis (S. 251 ff.). Bei seinen allgemeinen Ausführungen zum Zeugnisverweigerungsrecht beruflicher Geheimnisträger äussert er sich zur Ortsunabhängigkeit der geschützten Objekte (S. 220 f.). Dort legt er dar, der Passus "ungeachtet des Ortes" in Art. 264 Abs. 1 StPO habe anlässlich der parlamentarischen Beratungen Eingang in das Gesetz gefunden. Nach bisheriger Praxis habe sich der Schutz der massgeblichen Geheimnisse grundsätzlich lediglich auf Dokumente erstreckt, welche sich im Gewahrsam der Geheimnisträger befanden. Obschon die damalige Praxis in der Lehre mehrheitlich auf Kritik gestossen sei, stelle die Ausdehnung des Schutzes keine Selbstverständlichkeit dar. Nach den meisten anderen europäischen Rechtsordnungen sei der Schutz auf Objekte beschränkt, die sich im Gewahrsam des Geheimnisträgers befinden. Die vorliegende Regelung sei als sehr progressiv zu werten. In der Folge begrüsst HEIMGARTNER die Ausdehnung des Geheimnisschutzes ausdrücklich. Es mache hinsichtlich der Schutzwürdigkeit einer geheimen Information per se materiell keinen Unterschied, ob sich diese beim Geheimnisherrn oder Geheimnisträger befindet. Abschliessend wirft HEIMGARTNER die Frage auf, ob die Ausdehnung des Schutzes bedeute, dass Durchsuchungen und Beschlagnahmen bei betroffenen Beschuldigten und Dritten unzulässig seien, sobald sie sich darauf beriefen, die entsprechenden Informationen stammten aus dem Verkehr mit einem Berufsgeheimnisträger. HEIMGARTNER bemerkt dazu, selbst Berufsgeheimnisträger - bei denen die BGE 140 IV 108 S. 117 Vermutung angebracht wäre, dass zu durchsuchende Unterlagen unter ein Berufsgeheimnis fallen - hätten die Pflicht, Durchsuchungen und Beschlagnahmen zu dulden. Umso mehr hätten Personen, denen kein Sonderstatus zukomme, grundsätzlich kein Recht, sich physisch diesen Zwangsmassnahmen zu widersetzen. Dem Schutz eventueller Geheimnisse diene das Institut der Siegelung. Im Lichte dieser allgemeinen Darlegungen zum Zeugnisverweigerungsrecht beruflicher Geheimnisträger können die erwähnten besonderen Ausführungen von HEIMGARTNER zum Redaktionsgeheimnis (S. 256) nicht so verstanden werden, dass er damit das Beschlagnahmeverbot auf die Redaktionsräume sowie die Privaträume und Effekten der Journalisten beschränken wollte. Dies hätte in Anbetracht der allgemeinen Ausführungen von HEIMGARTNER nur angenommen werden können, wenn er es ausdrücklich gesagt hätte. Der Hinweis der Vorinstanz auf HEIMGARTNER überzeugt daher nicht; dies umso weniger, als dieser in einem anderen Werk vorbehaltlos ausführt, das Beschlagnahmeverbot gelte aufgrund der Formulierung "ungeachtet des Ortes" nunmehr in geografischer Hinsicht unbeschränkt (in: Kommentar zur Schweizerischen Strafprozessordnung, Donatsch und andere [Hrsg.], 2010, N. 2 zu Art. 264 StPO ). Auch andere Autoren weisen darauf hin, dass der Gesetzgeber mit dem Passus "ungeachtet des Ortes, wo sie sich befinden" den Anwendungsbereich des Beschlagnahmeverbots auf den Beschuldigten und Dritte ausgeweitet hat (NIKLAUS SCHMID, Schweizerische Strafprozessordnung [StPO], Praxiskommentar, 2. Aufl 2013, N. 2 zu Art. 264 StPO ; EDY MELI, in: Commentario, Codice svizzero di procedura penale, 2010, N. 5 zu Art. 264 StPO ; FRANZ RIKLIN, StPO-Kommentar, 2. Aufl. 2014, N. 2 zu Art. 264 StPO ).</w:t>
      </w:r>
    </w:p>
    <w:p>
      <w:r>
        <w:rPr>
          <w:b/>
        </w:rPr>
        <w:t>E. 6.10</w:t>
      </w:r>
    </w:p>
    <w:p>
      <w:r>
        <w:t>Würdigt man dies gesamthaft, bestehen hier keine triftigen Gründe dafür, ausnahmsweise vom klaren Wortlaut von Art. 264 Abs. 1 StPO abzuweichen. Unter das Beschlagnahmeverbot fallen demnach nicht nur Gegenstände und Unterlagen aus dem Verkehr des Beschwerdeführers mit den von ihm genannten Journalisten, die sich in deren Gewahrsam befinden, sondern auch solche, die sich im Gewahrsam des Beschwerdeführers und Dritter befinden. Die abweichende Auffassung der Vorinstanz verletzt Bundesrecht. Die Beschwerde ist im vorliegenden Punkt gutzuheissen und die Sache an die Vorinstanz zurückzuweisen, damit sie die genannten Gegenstände und Unterlagen aussondere.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